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17</w:t>
      </w:r>
      <w:r>
        <w:rPr>
          <w:rFonts w:ascii="Arial" w:hAnsi="Arial" w:cs="Arial"/>
          <w:b/>
        </w:rPr>
        <w:tab/>
      </w:r>
      <w:r>
        <w:rPr>
          <w:rFonts w:ascii="Arial" w:hAnsi="Arial" w:cs="Arial"/>
          <w:b/>
          <w:bCs/>
        </w:rPr>
        <w:tab/>
      </w:r>
      <w:r>
        <w:rPr>
          <w:rFonts w:hint="eastAsia" w:ascii="Arial" w:hAnsi="Arial" w:cs="Arial"/>
          <w:b/>
          <w:bCs/>
          <w:highlight w:val="none"/>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520979</w:t>
      </w:r>
    </w:p>
    <w:p w14:paraId="21CE10BF">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highlight w:val="yellow"/>
          <w:lang w:val="en-US" w:eastAsia="zh-CN"/>
        </w:rPr>
      </w:pPr>
      <w:r>
        <w:rPr>
          <w:b/>
          <w:sz w:val="22"/>
          <w:highlight w:val="none"/>
        </w:rPr>
        <w:t>Agenda Item:</w:t>
      </w:r>
      <w:r>
        <w:rPr>
          <w:b/>
          <w:sz w:val="22"/>
          <w:highlight w:val="none"/>
        </w:rPr>
        <w:tab/>
      </w:r>
      <w:r>
        <w:rPr>
          <w:rFonts w:hint="eastAsia"/>
          <w:sz w:val="22"/>
          <w:highlight w:val="none"/>
          <w:lang w:val="en-US" w:eastAsia="zh-CN"/>
        </w:rPr>
        <w:t>4.26.2</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 xml:space="preserve">Discussion on the RRM requirement maintenance for </w:t>
      </w:r>
      <w:r>
        <w:rPr>
          <w:rFonts w:hint="eastAsia"/>
          <w:sz w:val="22"/>
          <w:lang w:val="en-US" w:eastAsia="zh-CN"/>
        </w:rPr>
        <w:t xml:space="preserve">IoT </w:t>
      </w:r>
      <w:r>
        <w:rPr>
          <w:rFonts w:hint="eastAsia"/>
          <w:sz w:val="22"/>
        </w:rPr>
        <w:t>NTN phase3</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9136866">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A LS was received from RAN2#131 meeting[2], which inform RAN4 about additional agreements on CQI reporting in CB-Msg3 EDT procedure. </w:t>
      </w:r>
    </w:p>
    <w:tbl>
      <w:tblPr>
        <w:tblStyle w:val="21"/>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9"/>
      </w:tblGrid>
      <w:tr w14:paraId="12FC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9" w:type="dxa"/>
          </w:tcPr>
          <w:p w14:paraId="324B00C5">
            <w:pPr>
              <w:keepNext w:val="0"/>
              <w:keepLines w:val="0"/>
              <w:pageBreakBefore w:val="0"/>
              <w:widowControl/>
              <w:kinsoku/>
              <w:wordWrap/>
              <w:overflowPunct/>
              <w:topLinePunct w:val="0"/>
              <w:autoSpaceDE/>
              <w:autoSpaceDN/>
              <w:bidi w:val="0"/>
              <w:adjustRightInd/>
              <w:snapToGrid/>
              <w:spacing w:before="60" w:after="60" w:line="360" w:lineRule="auto"/>
              <w:textAlignment w:val="auto"/>
              <w:rPr>
                <w:rFonts w:hint="default" w:eastAsiaTheme="minorEastAsia"/>
                <w:sz w:val="20"/>
                <w:szCs w:val="20"/>
                <w:lang w:val="en-US" w:eastAsia="zh-CN"/>
              </w:rPr>
            </w:pPr>
            <w:r>
              <w:rPr>
                <w:rFonts w:hint="eastAsia"/>
                <w:sz w:val="20"/>
                <w:szCs w:val="20"/>
                <w:lang w:val="en-US" w:eastAsia="zh-CN"/>
              </w:rPr>
              <w:t>LS R2-2506299</w:t>
            </w:r>
          </w:p>
          <w:p w14:paraId="6402E191">
            <w:pPr>
              <w:keepNext w:val="0"/>
              <w:keepLines w:val="0"/>
              <w:pageBreakBefore w:val="0"/>
              <w:widowControl/>
              <w:kinsoku/>
              <w:wordWrap/>
              <w:overflowPunct/>
              <w:topLinePunct w:val="0"/>
              <w:autoSpaceDE/>
              <w:autoSpaceDN/>
              <w:bidi w:val="0"/>
              <w:adjustRightInd/>
              <w:snapToGrid/>
              <w:spacing w:before="60" w:after="60" w:line="360" w:lineRule="auto"/>
              <w:textAlignment w:val="auto"/>
              <w:rPr>
                <w:sz w:val="20"/>
                <w:szCs w:val="20"/>
              </w:rPr>
            </w:pPr>
            <w:r>
              <w:rPr>
                <w:sz w:val="20"/>
                <w:szCs w:val="20"/>
              </w:rPr>
              <w:t xml:space="preserve">In Release 19 IoT NTN, RAN2 is specifying support for Contention-Based Msg3 Early Data Transmission (CB-Msg3 EDT). In this scheme the UE can perform EDT without transmitting Msg1 and receiving Msg2, in other words directly transmitting Msg3 in a contention-based manner. </w:t>
            </w:r>
          </w:p>
          <w:p w14:paraId="0EE2391D">
            <w:pPr>
              <w:keepNext w:val="0"/>
              <w:keepLines w:val="0"/>
              <w:pageBreakBefore w:val="0"/>
              <w:widowControl/>
              <w:kinsoku/>
              <w:wordWrap/>
              <w:overflowPunct/>
              <w:topLinePunct w:val="0"/>
              <w:autoSpaceDE/>
              <w:autoSpaceDN/>
              <w:bidi w:val="0"/>
              <w:adjustRightInd/>
              <w:snapToGrid/>
              <w:spacing w:before="60" w:after="60" w:line="360" w:lineRule="auto"/>
              <w:textAlignment w:val="auto"/>
              <w:rPr>
                <w:sz w:val="20"/>
                <w:szCs w:val="20"/>
              </w:rPr>
            </w:pPr>
            <w:r>
              <w:rPr>
                <w:sz w:val="20"/>
                <w:szCs w:val="20"/>
              </w:rPr>
              <w:t xml:space="preserve">As part of this, RAN2 has discussed whether CQI reporting in CB-Msg3 EDT procedure shall be supported or not. RAN2 has come to the following agreement, </w:t>
            </w:r>
            <w:r>
              <w:rPr>
                <w:sz w:val="20"/>
                <w:szCs w:val="20"/>
                <w:highlight w:val="yellow"/>
              </w:rPr>
              <w:t>which applies to both NB-IoT and eMTC</w:t>
            </w:r>
            <w:r>
              <w:rPr>
                <w:sz w:val="20"/>
                <w:szCs w:val="20"/>
              </w:rPr>
              <w:t xml:space="preserve">: </w:t>
            </w:r>
          </w:p>
          <w:p w14:paraId="43789AED">
            <w:pPr>
              <w:pStyle w:val="92"/>
              <w:keepNext w:val="0"/>
              <w:keepLines w:val="0"/>
              <w:pageBreakBefore w:val="0"/>
              <w:widowControl/>
              <w:tabs>
                <w:tab w:val="left" w:pos="359"/>
                <w:tab w:val="clear" w:pos="1619"/>
              </w:tabs>
              <w:kinsoku/>
              <w:wordWrap/>
              <w:overflowPunct/>
              <w:topLinePunct w:val="0"/>
              <w:autoSpaceDE/>
              <w:autoSpaceDN/>
              <w:bidi w:val="0"/>
              <w:adjustRightInd/>
              <w:snapToGrid/>
              <w:spacing w:before="60" w:after="60" w:line="360" w:lineRule="auto"/>
              <w:textAlignment w:val="auto"/>
              <w:rPr>
                <w:rFonts w:hint="default"/>
                <w:sz w:val="20"/>
                <w:szCs w:val="20"/>
                <w:vertAlign w:val="baseline"/>
                <w:lang w:val="en-US" w:eastAsia="zh-CN"/>
              </w:rPr>
            </w:pPr>
            <w:r>
              <w:rPr>
                <w:sz w:val="20"/>
                <w:szCs w:val="20"/>
              </w:rPr>
              <w:t>We clarify that CQI reporting is not included in CB-Msg3 for CB-Msg3-EDT for non-anchor carrier but it can be included for anchor carrier (send LS to RAN4)</w:t>
            </w:r>
          </w:p>
        </w:tc>
      </w:tr>
    </w:tbl>
    <w:p w14:paraId="648A1283">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last meeting, RAN4 specified the requirement for MSG3-based channel quality report for UE Category NB1 with CB-Msg3-EDT procedure. However, whether to introduce the corresponding requirement for eMTC NTN UE is still FFS.</w:t>
      </w:r>
    </w:p>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this LS related maintenance issue</w:t>
      </w:r>
      <w:r>
        <w:rPr>
          <w:rFonts w:eastAsia="等线"/>
          <w:sz w:val="20"/>
          <w:szCs w:val="20"/>
        </w:rPr>
        <w:t>.</w:t>
      </w:r>
    </w:p>
    <w:p w14:paraId="0C81A28C">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GB" w:eastAsia="ko-KR"/>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Maintenance for CB-Msg3 EDT</w:t>
      </w:r>
      <w:bookmarkStart w:id="8" w:name="_Hlk147849822"/>
    </w:p>
    <w:p w14:paraId="4524D33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Theme="minorEastAsia"/>
          <w:sz w:val="20"/>
          <w:szCs w:val="20"/>
          <w:lang w:val="en-US" w:eastAsia="zh-CN"/>
        </w:rPr>
      </w:pPr>
      <w:r>
        <w:rPr>
          <w:rFonts w:hint="eastAsia"/>
          <w:b/>
          <w:bCs w:val="0"/>
          <w:i w:val="0"/>
          <w:iCs w:val="0"/>
          <w:sz w:val="20"/>
          <w:szCs w:val="20"/>
          <w:u w:val="none"/>
          <w:vertAlign w:val="baseline"/>
          <w:lang w:val="en-US" w:eastAsia="zh-CN"/>
        </w:rPr>
        <w:t>Background:</w:t>
      </w:r>
      <w:r>
        <w:rPr>
          <w:rFonts w:hint="eastAsia"/>
          <w:b w:val="0"/>
          <w:bCs/>
          <w:i w:val="0"/>
          <w:iCs w:val="0"/>
          <w:sz w:val="20"/>
          <w:szCs w:val="20"/>
          <w:u w:val="none"/>
          <w:vertAlign w:val="baseline"/>
          <w:lang w:val="en-US" w:eastAsia="zh-CN"/>
        </w:rPr>
        <w:t xml:space="preserve"> RAN2 clearly stated that the agreement for </w:t>
      </w:r>
      <w:r>
        <w:rPr>
          <w:sz w:val="20"/>
          <w:szCs w:val="20"/>
        </w:rPr>
        <w:t>CQI reporting in CB-Msg3 EDT procedure applies to both NB-IoT and eMTC</w:t>
      </w:r>
      <w:r>
        <w:rPr>
          <w:rFonts w:hint="eastAsia"/>
          <w:sz w:val="20"/>
          <w:szCs w:val="20"/>
          <w:lang w:val="en-US" w:eastAsia="zh-CN"/>
        </w:rPr>
        <w:t xml:space="preserve"> as highlight above.</w:t>
      </w:r>
    </w:p>
    <w:p w14:paraId="79E3838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bCs w:val="0"/>
          <w:i w:val="0"/>
          <w:iCs w:val="0"/>
          <w:sz w:val="20"/>
          <w:szCs w:val="20"/>
          <w:u w:val="none"/>
          <w:vertAlign w:val="baseline"/>
          <w:lang w:val="en-US" w:eastAsia="zh-CN"/>
        </w:rPr>
        <w:t>Legacy behavior for eMTC UE:</w:t>
      </w:r>
      <w:r>
        <w:rPr>
          <w:rFonts w:hint="eastAsia"/>
          <w:b w:val="0"/>
          <w:bCs/>
          <w:i w:val="0"/>
          <w:iCs w:val="0"/>
          <w:sz w:val="20"/>
          <w:szCs w:val="20"/>
          <w:u w:val="none"/>
          <w:vertAlign w:val="baseline"/>
          <w:lang w:val="en-US" w:eastAsia="zh-CN"/>
        </w:rPr>
        <w:t xml:space="preserve"> the legacy MSG3-based CQI report requirement is defined in Clause 4.7.3, and same requirements are reused for eMTC UE with NTN as defined in Clause 4.7A.3. The period to derive reported NPDCCH repetition level only contains </w:t>
      </w:r>
      <w:r>
        <w:rPr>
          <w:rFonts w:hint="default"/>
          <w:b w:val="0"/>
          <w:bCs/>
          <w:i w:val="0"/>
          <w:iCs w:val="0"/>
          <w:sz w:val="20"/>
          <w:szCs w:val="20"/>
          <w:u w:val="none"/>
          <w:vertAlign w:val="baseline"/>
          <w:lang w:val="en-US" w:eastAsia="zh-CN"/>
        </w:rPr>
        <w:t>‘</w:t>
      </w:r>
      <w:r>
        <w:rPr>
          <w:rFonts w:hint="eastAsia"/>
          <w:b w:val="0"/>
          <w:bCs/>
          <w:i w:val="0"/>
          <w:iCs w:val="0"/>
          <w:sz w:val="20"/>
          <w:szCs w:val="20"/>
          <w:u w:val="none"/>
          <w:vertAlign w:val="baseline"/>
          <w:lang w:val="en-US" w:eastAsia="zh-CN"/>
        </w:rPr>
        <w:t>the period from the beginning of the random access response to the beginning of PUSCH for DL channel quality reporting</w:t>
      </w:r>
      <w:r>
        <w:rPr>
          <w:rFonts w:hint="default"/>
          <w:b w:val="0"/>
          <w:bCs/>
          <w:i w:val="0"/>
          <w:iCs w:val="0"/>
          <w:sz w:val="20"/>
          <w:szCs w:val="20"/>
          <w:u w:val="none"/>
          <w:vertAlign w:val="baseline"/>
          <w:lang w:val="en-US" w:eastAsia="zh-CN"/>
        </w:rPr>
        <w:t>’</w:t>
      </w:r>
      <w:r>
        <w:rPr>
          <w:rFonts w:hint="eastAsia"/>
          <w:b w:val="0"/>
          <w:bCs/>
          <w:i w:val="0"/>
          <w:iCs w:val="0"/>
          <w:sz w:val="20"/>
          <w:szCs w:val="20"/>
          <w:u w:val="none"/>
          <w:vertAlign w:val="baseline"/>
          <w:lang w:val="en-US" w:eastAsia="zh-CN"/>
        </w:rPr>
        <w:t>. This period comes from the agreement of RAN1#98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AF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shd w:val="clear" w:color="auto" w:fill="auto"/>
            <w:noWrap w:val="0"/>
            <w:vAlign w:val="top"/>
          </w:tcPr>
          <w:p w14:paraId="74F12936">
            <w:pPr>
              <w:spacing w:before="0" w:beforeLines="0" w:after="0" w:afterLines="0"/>
              <w:rPr>
                <w:rFonts w:hint="default" w:ascii="Times" w:hAnsi="Times" w:eastAsia="宋体"/>
                <w:sz w:val="20"/>
                <w:szCs w:val="24"/>
                <w:highlight w:val="green"/>
                <w:lang w:val="en-US" w:eastAsia="zh-CN"/>
              </w:rPr>
            </w:pPr>
            <w:r>
              <w:rPr>
                <w:rFonts w:hint="eastAsia" w:ascii="Times" w:hAnsi="Times" w:eastAsia="宋体"/>
                <w:sz w:val="20"/>
                <w:szCs w:val="24"/>
                <w:highlight w:val="green"/>
                <w:lang w:val="en-US" w:eastAsia="zh-CN"/>
              </w:rPr>
              <w:t>TS 38.331 Clause 4.7.3</w:t>
            </w:r>
          </w:p>
          <w:p w14:paraId="070ECE6A">
            <w:pPr>
              <w:rPr>
                <w:rFonts w:cs="v4.2.0"/>
                <w:sz w:val="20"/>
                <w:szCs w:val="20"/>
              </w:rPr>
            </w:pPr>
            <w:r>
              <w:rPr>
                <w:rFonts w:cs="v4.2.0"/>
                <w:sz w:val="20"/>
                <w:szCs w:val="20"/>
              </w:rPr>
              <w:t xml:space="preserve">When UE is in idle mode, the reported </w:t>
            </w:r>
            <w:r>
              <w:rPr>
                <w:sz w:val="20"/>
                <w:szCs w:val="20"/>
              </w:rPr>
              <w:t xml:space="preserve">MPDCCH repetition level or aggregation level </w:t>
            </w:r>
            <w:r>
              <w:rPr>
                <w:rFonts w:cs="v4.2.0"/>
                <w:sz w:val="20"/>
                <w:szCs w:val="20"/>
              </w:rPr>
              <w:t>shall be derived from the channel quality measured in the period T in the narrowband where the random access response is transmitted, where</w:t>
            </w:r>
          </w:p>
          <w:p w14:paraId="5E116251">
            <w:pPr>
              <w:pStyle w:val="51"/>
              <w:rPr>
                <w:sz w:val="20"/>
                <w:szCs w:val="20"/>
              </w:rPr>
            </w:pPr>
            <w:r>
              <w:rPr>
                <w:sz w:val="20"/>
                <w:szCs w:val="20"/>
              </w:rPr>
              <w:t>-</w:t>
            </w:r>
            <w:r>
              <w:rPr>
                <w:sz w:val="20"/>
                <w:szCs w:val="20"/>
              </w:rPr>
              <w:tab/>
            </w:r>
            <w:r>
              <w:rPr>
                <w:sz w:val="20"/>
                <w:szCs w:val="20"/>
              </w:rPr>
              <w:t>T is the period from the beginning of the random access response to the beginning of PUSCH for DL channel quality reporting.</w:t>
            </w:r>
          </w:p>
          <w:p w14:paraId="3C22BF70">
            <w:pPr>
              <w:spacing w:before="0" w:beforeLines="0" w:after="0" w:afterLines="0"/>
              <w:rPr>
                <w:rFonts w:ascii="Times" w:hAnsi="Times" w:eastAsia="Batang"/>
                <w:sz w:val="20"/>
                <w:szCs w:val="24"/>
                <w:highlight w:val="green"/>
              </w:rPr>
            </w:pPr>
          </w:p>
          <w:p w14:paraId="6201E618">
            <w:pPr>
              <w:spacing w:before="0" w:beforeLines="0" w:after="0" w:afterLines="0"/>
              <w:rPr>
                <w:rFonts w:hint="default" w:ascii="Times" w:hAnsi="Times" w:eastAsia="宋体"/>
                <w:sz w:val="20"/>
                <w:szCs w:val="24"/>
                <w:highlight w:val="green"/>
                <w:lang w:val="en-US" w:eastAsia="zh-CN"/>
              </w:rPr>
            </w:pPr>
            <w:r>
              <w:rPr>
                <w:rFonts w:ascii="Times" w:hAnsi="Times" w:eastAsia="Batang"/>
                <w:sz w:val="20"/>
                <w:szCs w:val="24"/>
                <w:highlight w:val="green"/>
              </w:rPr>
              <w:t>A</w:t>
            </w:r>
            <w:r>
              <w:rPr>
                <w:rFonts w:hint="eastAsia" w:ascii="Times" w:hAnsi="Times" w:eastAsia="Batang"/>
                <w:sz w:val="20"/>
                <w:szCs w:val="24"/>
                <w:highlight w:val="green"/>
              </w:rPr>
              <w:t>greement</w:t>
            </w:r>
            <w:r>
              <w:rPr>
                <w:rFonts w:hint="eastAsia" w:ascii="Times" w:hAnsi="Times" w:eastAsia="宋体"/>
                <w:sz w:val="20"/>
                <w:szCs w:val="24"/>
                <w:highlight w:val="green"/>
                <w:lang w:val="en-US" w:eastAsia="zh-CN"/>
              </w:rPr>
              <w:t xml:space="preserve"> from RAN1#98 meeting</w:t>
            </w:r>
          </w:p>
          <w:p w14:paraId="5F3A9169">
            <w:pPr>
              <w:spacing w:before="0" w:beforeLines="0" w:after="0" w:afterLines="0"/>
              <w:rPr>
                <w:rFonts w:hint="eastAsia" w:ascii="Times" w:hAnsi="Times" w:eastAsia="Batang"/>
                <w:sz w:val="20"/>
                <w:szCs w:val="24"/>
              </w:rPr>
            </w:pPr>
            <w:r>
              <w:rPr>
                <w:rFonts w:hint="eastAsia" w:ascii="Times" w:hAnsi="Times" w:eastAsia="Batang"/>
                <w:sz w:val="20"/>
                <w:szCs w:val="24"/>
              </w:rPr>
              <w:t>For DL quality report in Msg3</w:t>
            </w:r>
            <w:r>
              <w:rPr>
                <w:rFonts w:ascii="Times" w:hAnsi="Times" w:eastAsia="Batang"/>
                <w:sz w:val="20"/>
                <w:szCs w:val="24"/>
              </w:rPr>
              <w:t xml:space="preserve"> for IDLE mode UEs</w:t>
            </w:r>
            <w:r>
              <w:rPr>
                <w:rFonts w:hint="eastAsia" w:ascii="Times" w:hAnsi="Times" w:eastAsia="Batang"/>
                <w:sz w:val="20"/>
                <w:szCs w:val="24"/>
              </w:rPr>
              <w:t xml:space="preserve">, </w:t>
            </w:r>
            <w:r>
              <w:rPr>
                <w:rFonts w:ascii="Times" w:hAnsi="Times" w:eastAsia="Batang"/>
                <w:sz w:val="20"/>
                <w:szCs w:val="24"/>
              </w:rPr>
              <w:t xml:space="preserve">downlink quality </w:t>
            </w:r>
            <w:r>
              <w:rPr>
                <w:rFonts w:hint="eastAsia" w:ascii="Times" w:hAnsi="Times" w:eastAsia="Batang"/>
                <w:sz w:val="20"/>
                <w:szCs w:val="24"/>
              </w:rPr>
              <w:t xml:space="preserve">is measured on </w:t>
            </w:r>
            <w:r>
              <w:rPr>
                <w:rFonts w:ascii="Times" w:hAnsi="Times" w:eastAsia="Batang"/>
                <w:sz w:val="20"/>
                <w:szCs w:val="24"/>
              </w:rPr>
              <w:t xml:space="preserve">the </w:t>
            </w:r>
            <w:r>
              <w:rPr>
                <w:rFonts w:hint="eastAsia" w:ascii="Times" w:hAnsi="Times" w:eastAsia="Batang"/>
                <w:sz w:val="20"/>
                <w:szCs w:val="24"/>
              </w:rPr>
              <w:t>narrowband</w:t>
            </w:r>
            <w:r>
              <w:rPr>
                <w:rFonts w:ascii="Times" w:hAnsi="Times" w:eastAsia="Batang"/>
                <w:sz w:val="20"/>
                <w:szCs w:val="24"/>
              </w:rPr>
              <w:t>(s)</w:t>
            </w:r>
            <w:r>
              <w:rPr>
                <w:rFonts w:hint="eastAsia" w:ascii="Times" w:hAnsi="Times" w:eastAsia="Batang"/>
                <w:sz w:val="20"/>
                <w:szCs w:val="24"/>
              </w:rPr>
              <w:t xml:space="preserve"> on which MPDCCH of RAR is monitored. No additional downlink quality measurement on other narrowband(s) is introduced.</w:t>
            </w:r>
          </w:p>
        </w:tc>
      </w:tr>
    </w:tbl>
    <w:p w14:paraId="3C7BC20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val="0"/>
          <w:i/>
          <w:iCs/>
          <w:sz w:val="20"/>
          <w:szCs w:val="20"/>
          <w:u w:val="none"/>
          <w:vertAlign w:val="baseline"/>
          <w:lang w:val="en-US" w:eastAsia="zh-CN"/>
        </w:rPr>
      </w:pPr>
      <w:r>
        <w:rPr>
          <w:rFonts w:hint="eastAsia"/>
          <w:b/>
          <w:bCs w:val="0"/>
          <w:i/>
          <w:iCs/>
          <w:sz w:val="20"/>
          <w:szCs w:val="20"/>
          <w:u w:val="none"/>
          <w:vertAlign w:val="baseline"/>
          <w:lang w:val="en-US" w:eastAsia="zh-CN"/>
        </w:rPr>
        <w:t xml:space="preserve">Observation 1: The legacy eMTC UE is only required to measure channel capability </w:t>
      </w:r>
      <w:r>
        <w:rPr>
          <w:b/>
          <w:bCs w:val="0"/>
          <w:i/>
          <w:iCs/>
          <w:sz w:val="20"/>
          <w:szCs w:val="20"/>
        </w:rPr>
        <w:t>from the beginning of the random access response to the beginning of PUSCH for DL channel quality reporting.</w:t>
      </w:r>
    </w:p>
    <w:p w14:paraId="5C37F00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p>
    <w:p w14:paraId="1D07885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At current stage, for eMTC NTN UE, no additional UE capability was added on top of legacy eMTC UE, we can assume that there is no mandatory RSRP measurement before PRACH transmission for eMTC NTN UE. Then without preceding Msg1 and Msg2 procedure, how and when does the UE measure the channel quality for deriving the reported MPDCCH repetition level or aggregation level shall be further studied. Currently, unless RAN1/2 introduce additional measurement procedure, we fail to see the feasibility of eMTC NTN UE measure the channel quality for deriving the reported MPDCCH repetition level or aggregation level before CB-Msg3. </w:t>
      </w:r>
    </w:p>
    <w:p w14:paraId="7EC89494">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1: For eMTC UE, fail to see the feasibility of introducing the CQI reporting for CB-Msg3 EDT for eMTC UE.</w:t>
      </w:r>
    </w:p>
    <w:p w14:paraId="0E8BD638">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Due to the observation in RAN4 has conflict with RAN2</w:t>
      </w:r>
      <w:r>
        <w:rPr>
          <w:rFonts w:hint="default"/>
          <w:b w:val="0"/>
          <w:bCs/>
          <w:i w:val="0"/>
          <w:iCs w:val="0"/>
          <w:sz w:val="20"/>
          <w:szCs w:val="20"/>
          <w:u w:val="none"/>
          <w:vertAlign w:val="baseline"/>
          <w:lang w:val="en-US" w:eastAsia="zh-CN"/>
        </w:rPr>
        <w:t>’</w:t>
      </w:r>
      <w:r>
        <w:rPr>
          <w:rFonts w:hint="eastAsia"/>
          <w:b w:val="0"/>
          <w:bCs/>
          <w:i w:val="0"/>
          <w:iCs w:val="0"/>
          <w:sz w:val="20"/>
          <w:szCs w:val="20"/>
          <w:u w:val="none"/>
          <w:vertAlign w:val="baseline"/>
          <w:lang w:val="en-US" w:eastAsia="zh-CN"/>
        </w:rPr>
        <w:t>s agreement and LS, we think a Reply LS is needed for information sync and clarification</w:t>
      </w:r>
    </w:p>
    <w:p w14:paraId="6BD1E2D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2: Send Reply LS to RAN2 for information sync and clarification about channel quality report for eMTC UE with CB-Msg3-EDT procedure.</w:t>
      </w:r>
    </w:p>
    <w:p w14:paraId="0A96626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eastAsia="宋体"/>
          <w:b/>
          <w:bCs/>
          <w:i/>
          <w:iCs/>
          <w:sz w:val="20"/>
          <w:szCs w:val="20"/>
          <w:lang w:val="en-US" w:eastAsia="zh-CN"/>
        </w:rPr>
      </w:pPr>
    </w:p>
    <w:bookmarkEnd w:id="5"/>
    <w:bookmarkEnd w:id="8"/>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9" w:name="OLE_LINK3"/>
      <w:r>
        <w:rPr>
          <w:sz w:val="20"/>
          <w:szCs w:val="20"/>
        </w:rPr>
        <w:t xml:space="preserve">Based on the discussion above, the following observations and proposals are concluded. </w:t>
      </w:r>
      <w:bookmarkEnd w:id="6"/>
      <w:bookmarkEnd w:id="7"/>
    </w:p>
    <w:p w14:paraId="57A2B12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val="0"/>
          <w:i/>
          <w:iCs/>
          <w:sz w:val="20"/>
          <w:szCs w:val="20"/>
          <w:u w:val="none"/>
          <w:vertAlign w:val="baseline"/>
          <w:lang w:val="en-US" w:eastAsia="zh-CN"/>
        </w:rPr>
      </w:pPr>
      <w:r>
        <w:rPr>
          <w:rFonts w:hint="eastAsia"/>
          <w:b/>
          <w:bCs w:val="0"/>
          <w:i/>
          <w:iCs/>
          <w:sz w:val="20"/>
          <w:szCs w:val="20"/>
          <w:u w:val="none"/>
          <w:vertAlign w:val="baseline"/>
          <w:lang w:val="en-US" w:eastAsia="zh-CN"/>
        </w:rPr>
        <w:t xml:space="preserve">Observation 1: The legacy eMTC UE is only required to measure channel capability </w:t>
      </w:r>
      <w:r>
        <w:rPr>
          <w:b/>
          <w:bCs w:val="0"/>
          <w:i/>
          <w:iCs/>
          <w:sz w:val="20"/>
          <w:szCs w:val="20"/>
        </w:rPr>
        <w:t>from the beginning of the random access response to the beginning of PUSCH for DL channel quality reporting.</w:t>
      </w:r>
    </w:p>
    <w:p w14:paraId="0B6E289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b/>
          <w:bCs/>
          <w:i/>
          <w:iCs/>
          <w:sz w:val="20"/>
          <w:szCs w:val="20"/>
          <w:lang w:val="en-US" w:eastAsia="zh-CN"/>
        </w:rPr>
      </w:pPr>
      <w:r>
        <w:rPr>
          <w:rFonts w:hint="eastAsia" w:eastAsia="宋体"/>
          <w:b/>
          <w:bCs/>
          <w:i/>
          <w:iCs/>
          <w:sz w:val="20"/>
          <w:szCs w:val="20"/>
          <w:lang w:val="en-US" w:eastAsia="zh-CN"/>
        </w:rPr>
        <w:t>Proposal 1: For eMTC UE, fail to see the feasibility of introducing the CQI reporting for CB-Msg3 EDT for eMTC UE.</w:t>
      </w:r>
    </w:p>
    <w:p w14:paraId="5333DDA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sz w:val="20"/>
          <w:szCs w:val="20"/>
        </w:rPr>
      </w:pPr>
      <w:r>
        <w:rPr>
          <w:rFonts w:hint="eastAsia" w:eastAsia="宋体"/>
          <w:b/>
          <w:bCs/>
          <w:i/>
          <w:iCs/>
          <w:sz w:val="20"/>
          <w:szCs w:val="20"/>
          <w:lang w:val="en-US" w:eastAsia="zh-CN"/>
        </w:rPr>
        <w:t>Proposal 2: Send Reply LS to RAN2 for information sync and clarification about channel quality report for eMTC UE with CB-Msg3-EDT procedure.</w:t>
      </w:r>
      <w:bookmarkStart w:id="10" w:name="_GoBack"/>
      <w:bookmarkEnd w:id="10"/>
    </w:p>
    <w:bookmarkEnd w:id="9"/>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DB8E637">
      <w:pPr>
        <w:numPr>
          <w:ilvl w:val="0"/>
          <w:numId w:val="6"/>
        </w:numPr>
        <w:rPr>
          <w:rFonts w:hint="default" w:eastAsiaTheme="minorEastAsia"/>
          <w:sz w:val="20"/>
          <w:szCs w:val="20"/>
          <w:lang w:val="en-US" w:eastAsia="zh-CN"/>
        </w:rPr>
      </w:pPr>
      <w:r>
        <w:rPr>
          <w:rFonts w:hint="eastAsia"/>
          <w:sz w:val="20"/>
          <w:szCs w:val="20"/>
          <w:lang w:val="en-US" w:eastAsia="zh-CN"/>
        </w:rPr>
        <w:t>R4-2512148, WF on RRM requirements for IoT_NTN_Ph3</w:t>
      </w:r>
    </w:p>
    <w:p w14:paraId="6C27BA58">
      <w:pPr>
        <w:numPr>
          <w:ilvl w:val="0"/>
          <w:numId w:val="6"/>
        </w:numPr>
        <w:rPr>
          <w:rFonts w:hint="default" w:eastAsiaTheme="minorEastAsia"/>
          <w:sz w:val="20"/>
          <w:szCs w:val="20"/>
          <w:lang w:val="en-US" w:eastAsia="zh-CN"/>
        </w:rPr>
      </w:pPr>
      <w:r>
        <w:rPr>
          <w:rFonts w:hint="default" w:eastAsiaTheme="minorEastAsia"/>
          <w:sz w:val="20"/>
          <w:szCs w:val="20"/>
          <w:lang w:val="en-US" w:eastAsia="zh-CN"/>
        </w:rPr>
        <w:t>R2-2506299</w:t>
      </w:r>
      <w:r>
        <w:rPr>
          <w:rFonts w:hint="eastAsia"/>
          <w:sz w:val="20"/>
          <w:szCs w:val="20"/>
          <w:lang w:val="en-US" w:eastAsia="zh-CN"/>
        </w:rPr>
        <w:t>, LS on CQI reporting for CB-Msg3 EDT, RAN2</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9EE624D"/>
    <w:multiLevelType w:val="singleLevel"/>
    <w:tmpl w:val="79EE624D"/>
    <w:lvl w:ilvl="0" w:tentative="0">
      <w:start w:val="1"/>
      <w:numFmt w:val="decimal"/>
      <w:suff w:val="space"/>
      <w:lvlText w:val="[%1]"/>
      <w:lvlJc w:val="left"/>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471"/>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1D4FC6"/>
    <w:rsid w:val="012F7484"/>
    <w:rsid w:val="01437C9C"/>
    <w:rsid w:val="0157185C"/>
    <w:rsid w:val="02BB15E8"/>
    <w:rsid w:val="02CD6222"/>
    <w:rsid w:val="032875BA"/>
    <w:rsid w:val="04027B7C"/>
    <w:rsid w:val="041F7105"/>
    <w:rsid w:val="04270E0A"/>
    <w:rsid w:val="04F14AC0"/>
    <w:rsid w:val="05197EAE"/>
    <w:rsid w:val="05D82196"/>
    <w:rsid w:val="05E842A2"/>
    <w:rsid w:val="061C4A75"/>
    <w:rsid w:val="06830D33"/>
    <w:rsid w:val="072E0E2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C8B66D1"/>
    <w:rsid w:val="0D11391B"/>
    <w:rsid w:val="0D6D742F"/>
    <w:rsid w:val="0DB01D4D"/>
    <w:rsid w:val="0E1E058B"/>
    <w:rsid w:val="0E6C3CB3"/>
    <w:rsid w:val="0E723D6F"/>
    <w:rsid w:val="0EA0635C"/>
    <w:rsid w:val="0EB73522"/>
    <w:rsid w:val="0EC601AB"/>
    <w:rsid w:val="0EFE7BF4"/>
    <w:rsid w:val="0F2A17EF"/>
    <w:rsid w:val="10FD15E1"/>
    <w:rsid w:val="1124303F"/>
    <w:rsid w:val="11410433"/>
    <w:rsid w:val="11502A3C"/>
    <w:rsid w:val="116206E1"/>
    <w:rsid w:val="11BE7FEA"/>
    <w:rsid w:val="11E74B6B"/>
    <w:rsid w:val="135D091C"/>
    <w:rsid w:val="1381490C"/>
    <w:rsid w:val="144E60BA"/>
    <w:rsid w:val="14704788"/>
    <w:rsid w:val="14B343FF"/>
    <w:rsid w:val="14E90996"/>
    <w:rsid w:val="1558393A"/>
    <w:rsid w:val="155A08C9"/>
    <w:rsid w:val="16B47AC1"/>
    <w:rsid w:val="16F963FC"/>
    <w:rsid w:val="17F40229"/>
    <w:rsid w:val="17F76EF9"/>
    <w:rsid w:val="181B501A"/>
    <w:rsid w:val="18572D14"/>
    <w:rsid w:val="189E2829"/>
    <w:rsid w:val="18D05DC3"/>
    <w:rsid w:val="19166C11"/>
    <w:rsid w:val="19684D1A"/>
    <w:rsid w:val="199268D2"/>
    <w:rsid w:val="19AE4C3C"/>
    <w:rsid w:val="19E84EE7"/>
    <w:rsid w:val="1A337C08"/>
    <w:rsid w:val="1A615379"/>
    <w:rsid w:val="1A693185"/>
    <w:rsid w:val="1AE9076D"/>
    <w:rsid w:val="1B08792E"/>
    <w:rsid w:val="1C045BB5"/>
    <w:rsid w:val="1CE6214B"/>
    <w:rsid w:val="1D482986"/>
    <w:rsid w:val="1D530466"/>
    <w:rsid w:val="1E727913"/>
    <w:rsid w:val="1EBC4909"/>
    <w:rsid w:val="1EDA31F3"/>
    <w:rsid w:val="1F9C1CFF"/>
    <w:rsid w:val="203F5164"/>
    <w:rsid w:val="20741BCD"/>
    <w:rsid w:val="208E05CF"/>
    <w:rsid w:val="20AB71FD"/>
    <w:rsid w:val="20EB545B"/>
    <w:rsid w:val="21E6327B"/>
    <w:rsid w:val="22042A4E"/>
    <w:rsid w:val="220A3DCE"/>
    <w:rsid w:val="226278E6"/>
    <w:rsid w:val="228679ED"/>
    <w:rsid w:val="2297614E"/>
    <w:rsid w:val="22CD4739"/>
    <w:rsid w:val="22DF4B25"/>
    <w:rsid w:val="23A0131E"/>
    <w:rsid w:val="23F24A71"/>
    <w:rsid w:val="2453420A"/>
    <w:rsid w:val="2514714B"/>
    <w:rsid w:val="25942838"/>
    <w:rsid w:val="25B0630F"/>
    <w:rsid w:val="260E7FC9"/>
    <w:rsid w:val="264F651F"/>
    <w:rsid w:val="26981301"/>
    <w:rsid w:val="26AB5CAA"/>
    <w:rsid w:val="270343AF"/>
    <w:rsid w:val="270C5AEC"/>
    <w:rsid w:val="275238E8"/>
    <w:rsid w:val="27885E9A"/>
    <w:rsid w:val="27A9199E"/>
    <w:rsid w:val="27C37418"/>
    <w:rsid w:val="27E70AD2"/>
    <w:rsid w:val="282B4205"/>
    <w:rsid w:val="28340C68"/>
    <w:rsid w:val="28E63708"/>
    <w:rsid w:val="2903193C"/>
    <w:rsid w:val="293A0182"/>
    <w:rsid w:val="29F06898"/>
    <w:rsid w:val="29F41202"/>
    <w:rsid w:val="2A1C7136"/>
    <w:rsid w:val="2A3B6454"/>
    <w:rsid w:val="2A52567F"/>
    <w:rsid w:val="2AD63ADB"/>
    <w:rsid w:val="2B2D51E0"/>
    <w:rsid w:val="2B513792"/>
    <w:rsid w:val="2CCE420F"/>
    <w:rsid w:val="2CCE7A93"/>
    <w:rsid w:val="2D3C0CBF"/>
    <w:rsid w:val="2D480610"/>
    <w:rsid w:val="2E177608"/>
    <w:rsid w:val="2E285745"/>
    <w:rsid w:val="2E5D0DE0"/>
    <w:rsid w:val="2E687F19"/>
    <w:rsid w:val="2E954754"/>
    <w:rsid w:val="2EAC4EA3"/>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46067D"/>
    <w:rsid w:val="339A6C60"/>
    <w:rsid w:val="33A629ED"/>
    <w:rsid w:val="33C33478"/>
    <w:rsid w:val="33CE3940"/>
    <w:rsid w:val="33E11BE6"/>
    <w:rsid w:val="33E2308C"/>
    <w:rsid w:val="33FF585B"/>
    <w:rsid w:val="340663F8"/>
    <w:rsid w:val="340E7E85"/>
    <w:rsid w:val="34C969B6"/>
    <w:rsid w:val="35CB3800"/>
    <w:rsid w:val="36081486"/>
    <w:rsid w:val="3620464F"/>
    <w:rsid w:val="36267311"/>
    <w:rsid w:val="36ED2DC2"/>
    <w:rsid w:val="37C7711B"/>
    <w:rsid w:val="38306176"/>
    <w:rsid w:val="38616D76"/>
    <w:rsid w:val="395F1808"/>
    <w:rsid w:val="39A2598F"/>
    <w:rsid w:val="3A4772E5"/>
    <w:rsid w:val="3B1D4D3A"/>
    <w:rsid w:val="3B1E11F2"/>
    <w:rsid w:val="3B2E7C35"/>
    <w:rsid w:val="3B3261DC"/>
    <w:rsid w:val="3BCD3BF3"/>
    <w:rsid w:val="3BE87C7E"/>
    <w:rsid w:val="3C1B0BDA"/>
    <w:rsid w:val="3C1C2A58"/>
    <w:rsid w:val="3C3F629C"/>
    <w:rsid w:val="3CC57762"/>
    <w:rsid w:val="3D1A09CC"/>
    <w:rsid w:val="3D2E150D"/>
    <w:rsid w:val="3D774C98"/>
    <w:rsid w:val="3DA924E0"/>
    <w:rsid w:val="3DC16E2E"/>
    <w:rsid w:val="3DD26E51"/>
    <w:rsid w:val="3DFE15C4"/>
    <w:rsid w:val="3E1D7B1E"/>
    <w:rsid w:val="3F622545"/>
    <w:rsid w:val="3FA612DE"/>
    <w:rsid w:val="3FFA159D"/>
    <w:rsid w:val="4028093E"/>
    <w:rsid w:val="404E68F6"/>
    <w:rsid w:val="40A203D0"/>
    <w:rsid w:val="41021CB6"/>
    <w:rsid w:val="41AB7B72"/>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6A73DA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CD4364"/>
    <w:rsid w:val="4AE14CE5"/>
    <w:rsid w:val="4B820C21"/>
    <w:rsid w:val="4C0D30A7"/>
    <w:rsid w:val="4C235268"/>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74100F"/>
    <w:rsid w:val="50803E7A"/>
    <w:rsid w:val="50C604D2"/>
    <w:rsid w:val="50D16751"/>
    <w:rsid w:val="50FC4159"/>
    <w:rsid w:val="510668D0"/>
    <w:rsid w:val="514A4193"/>
    <w:rsid w:val="51B07900"/>
    <w:rsid w:val="52387E00"/>
    <w:rsid w:val="52657DC0"/>
    <w:rsid w:val="52A02608"/>
    <w:rsid w:val="53046661"/>
    <w:rsid w:val="53F344DD"/>
    <w:rsid w:val="53F34D30"/>
    <w:rsid w:val="54141C5F"/>
    <w:rsid w:val="5415308F"/>
    <w:rsid w:val="54CC5C98"/>
    <w:rsid w:val="552424BB"/>
    <w:rsid w:val="55592DCE"/>
    <w:rsid w:val="559303C8"/>
    <w:rsid w:val="5637467B"/>
    <w:rsid w:val="56902820"/>
    <w:rsid w:val="56D73D29"/>
    <w:rsid w:val="56D805CB"/>
    <w:rsid w:val="5711612A"/>
    <w:rsid w:val="57252D4C"/>
    <w:rsid w:val="57C500BA"/>
    <w:rsid w:val="585C7AD6"/>
    <w:rsid w:val="587E7112"/>
    <w:rsid w:val="58B90AAC"/>
    <w:rsid w:val="58D33E46"/>
    <w:rsid w:val="59804317"/>
    <w:rsid w:val="5A247256"/>
    <w:rsid w:val="5A3916BC"/>
    <w:rsid w:val="5A5554D1"/>
    <w:rsid w:val="5ACB668C"/>
    <w:rsid w:val="5AD564E3"/>
    <w:rsid w:val="5B4F5A23"/>
    <w:rsid w:val="5B7E30D0"/>
    <w:rsid w:val="5B9A48FE"/>
    <w:rsid w:val="5BE54260"/>
    <w:rsid w:val="5C03165A"/>
    <w:rsid w:val="5D0B6B17"/>
    <w:rsid w:val="5D5A55C3"/>
    <w:rsid w:val="5DDA7DC0"/>
    <w:rsid w:val="5DE001EE"/>
    <w:rsid w:val="5DE26877"/>
    <w:rsid w:val="5DEA0A94"/>
    <w:rsid w:val="5E0314D0"/>
    <w:rsid w:val="5E70351C"/>
    <w:rsid w:val="5EA54D66"/>
    <w:rsid w:val="5FAE3C1E"/>
    <w:rsid w:val="60176AA1"/>
    <w:rsid w:val="601C52A9"/>
    <w:rsid w:val="603B3B74"/>
    <w:rsid w:val="605B2BAE"/>
    <w:rsid w:val="60A50674"/>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8453F"/>
    <w:rsid w:val="67791B52"/>
    <w:rsid w:val="678F7D1C"/>
    <w:rsid w:val="67B02672"/>
    <w:rsid w:val="67F34F90"/>
    <w:rsid w:val="67FA6925"/>
    <w:rsid w:val="68F9738C"/>
    <w:rsid w:val="690A41ED"/>
    <w:rsid w:val="69184076"/>
    <w:rsid w:val="6950210B"/>
    <w:rsid w:val="69B84930"/>
    <w:rsid w:val="6AA1751A"/>
    <w:rsid w:val="6AFD65A3"/>
    <w:rsid w:val="6B3773F6"/>
    <w:rsid w:val="6B695BBB"/>
    <w:rsid w:val="6C0360D3"/>
    <w:rsid w:val="6CD75013"/>
    <w:rsid w:val="6D72001A"/>
    <w:rsid w:val="6D790A61"/>
    <w:rsid w:val="6E7D749A"/>
    <w:rsid w:val="6EC018FE"/>
    <w:rsid w:val="6F150A16"/>
    <w:rsid w:val="6F1B36F3"/>
    <w:rsid w:val="6FAC37F7"/>
    <w:rsid w:val="6FBD0EE3"/>
    <w:rsid w:val="6FD518E1"/>
    <w:rsid w:val="709A16D4"/>
    <w:rsid w:val="70B558FD"/>
    <w:rsid w:val="7191735E"/>
    <w:rsid w:val="722B0C34"/>
    <w:rsid w:val="738E763D"/>
    <w:rsid w:val="73A57636"/>
    <w:rsid w:val="74521C25"/>
    <w:rsid w:val="7488690A"/>
    <w:rsid w:val="74BC07DB"/>
    <w:rsid w:val="7530247A"/>
    <w:rsid w:val="759978CC"/>
    <w:rsid w:val="75DB65EB"/>
    <w:rsid w:val="762E3794"/>
    <w:rsid w:val="76320D9A"/>
    <w:rsid w:val="76871284"/>
    <w:rsid w:val="769367A2"/>
    <w:rsid w:val="76D521E9"/>
    <w:rsid w:val="773756B9"/>
    <w:rsid w:val="77DC6BAC"/>
    <w:rsid w:val="77EA2826"/>
    <w:rsid w:val="77EB1A53"/>
    <w:rsid w:val="78571CC7"/>
    <w:rsid w:val="78833509"/>
    <w:rsid w:val="78DE7EBE"/>
    <w:rsid w:val="79497FA2"/>
    <w:rsid w:val="799A470F"/>
    <w:rsid w:val="79B56430"/>
    <w:rsid w:val="7A496371"/>
    <w:rsid w:val="7A8B7C93"/>
    <w:rsid w:val="7B0E64C9"/>
    <w:rsid w:val="7B3426D8"/>
    <w:rsid w:val="7BFC7591"/>
    <w:rsid w:val="7C1A4147"/>
    <w:rsid w:val="7C353855"/>
    <w:rsid w:val="7C821376"/>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1"/>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3418</Words>
  <Characters>19486</Characters>
  <Lines>162</Lines>
  <Paragraphs>45</Paragraphs>
  <TotalTime>0</TotalTime>
  <ScaleCrop>false</ScaleCrop>
  <LinksUpToDate>false</LinksUpToDate>
  <CharactersWithSpaces>22859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2025-11-07T07:31:49Z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